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21EA" w14:textId="77777777" w:rsidR="00CD4EF2" w:rsidRDefault="00454E80">
      <w:pPr>
        <w:pStyle w:val="Heading"/>
      </w:pPr>
      <w:r>
        <w:t>Modèle d’article pour OPTIQUE Nice 2022</w:t>
      </w:r>
    </w:p>
    <w:p w14:paraId="3D2ECCE0" w14:textId="77777777" w:rsidR="00CD4EF2" w:rsidRDefault="00454E80">
      <w:pPr>
        <w:pStyle w:val="Auteur"/>
      </w:pPr>
      <w:r>
        <w:rPr>
          <w:rFonts w:ascii="Times, serif" w:hAnsi="Times, serif"/>
        </w:rPr>
        <w:t>Sébastien TANZILLI</w:t>
      </w:r>
      <w:r>
        <w:rPr>
          <w:rFonts w:ascii="Times, serif" w:hAnsi="Times, serif"/>
          <w:position w:val="7"/>
        </w:rPr>
        <w:t>1</w:t>
      </w:r>
      <w:r>
        <w:rPr>
          <w:rFonts w:ascii="Times, serif" w:hAnsi="Times, serif"/>
        </w:rPr>
        <w:t>, Guy Millot</w:t>
      </w:r>
      <w:r>
        <w:rPr>
          <w:rFonts w:ascii="Times, serif" w:hAnsi="Times, serif"/>
          <w:position w:val="7"/>
        </w:rPr>
        <w:t>2</w:t>
      </w:r>
      <w:r>
        <w:rPr>
          <w:rFonts w:ascii="Times, serif" w:hAnsi="Times, serif"/>
        </w:rPr>
        <w:t>, Philippe Arguel</w:t>
      </w:r>
      <w:r>
        <w:rPr>
          <w:rFonts w:ascii="Times, serif" w:hAnsi="Times, serif"/>
          <w:position w:val="7"/>
        </w:rPr>
        <w:t>3</w:t>
      </w:r>
    </w:p>
    <w:p w14:paraId="47767010" w14:textId="77777777" w:rsidR="00CD4EF2" w:rsidRDefault="00454E80">
      <w:pPr>
        <w:pStyle w:val="Institution"/>
      </w:pPr>
      <w:r>
        <w:rPr>
          <w:rFonts w:ascii="Times, serif" w:hAnsi="Times, serif"/>
          <w:position w:val="7"/>
        </w:rPr>
        <w:t>1</w:t>
      </w:r>
      <w:r>
        <w:t xml:space="preserve"> </w:t>
      </w:r>
      <w:r>
        <w:rPr>
          <w:rFonts w:ascii="Times, serif" w:hAnsi="Times, serif"/>
          <w:position w:val="7"/>
        </w:rPr>
        <w:t xml:space="preserve">INPHYNI, Institut de Physique de Nice, 06108 Nice, France </w:t>
      </w:r>
    </w:p>
    <w:p w14:paraId="25B5E29E" w14:textId="0F383B30" w:rsidR="00CD4EF2" w:rsidRDefault="00454E80">
      <w:pPr>
        <w:pStyle w:val="Institution"/>
      </w:pPr>
      <w:r>
        <w:rPr>
          <w:rFonts w:ascii="Times, serif" w:hAnsi="Times, serif"/>
          <w:position w:val="7"/>
        </w:rPr>
        <w:t>2</w:t>
      </w:r>
      <w:r>
        <w:rPr>
          <w:rFonts w:ascii="Times, serif" w:hAnsi="Times, serif"/>
        </w:rPr>
        <w:t>IC</w:t>
      </w:r>
      <w:r w:rsidR="003F658F">
        <w:rPr>
          <w:rFonts w:ascii="Times, serif" w:hAnsi="Times, serif"/>
        </w:rPr>
        <w:t>B,</w:t>
      </w:r>
      <w:r>
        <w:rPr>
          <w:rFonts w:ascii="Times, serif" w:hAnsi="Times, serif"/>
        </w:rPr>
        <w:t xml:space="preserve"> laboratoire Interdisciplinaire Carnot de Bourgogne, 31078 Dijon, France</w:t>
      </w:r>
    </w:p>
    <w:p w14:paraId="4DC381D8" w14:textId="7B4347FF" w:rsidR="00CD4EF2" w:rsidRDefault="00454E80">
      <w:pPr>
        <w:pStyle w:val="Institution"/>
      </w:pPr>
      <w:r>
        <w:rPr>
          <w:rFonts w:ascii="Times, serif" w:hAnsi="Times, serif"/>
          <w:position w:val="7"/>
        </w:rPr>
        <w:t>3</w:t>
      </w:r>
      <w:r>
        <w:t xml:space="preserve"> </w:t>
      </w:r>
      <w:r>
        <w:rPr>
          <w:rFonts w:ascii="Times, serif" w:hAnsi="Times, serif"/>
        </w:rPr>
        <w:t>LAAS-CNRS</w:t>
      </w:r>
      <w:r w:rsidR="003F658F">
        <w:rPr>
          <w:rFonts w:ascii="Times, serif" w:hAnsi="Times, serif"/>
        </w:rPr>
        <w:t>,</w:t>
      </w:r>
      <w:r>
        <w:rPr>
          <w:rFonts w:ascii="Times, serif" w:hAnsi="Times, serif"/>
        </w:rPr>
        <w:t xml:space="preserve"> </w:t>
      </w:r>
      <w:r>
        <w:t>Laboratoire d'analyse et d'architecture des systèmes, 31031 Toulouse, France</w:t>
      </w:r>
    </w:p>
    <w:p w14:paraId="60590905" w14:textId="77777777" w:rsidR="00CD4EF2" w:rsidRDefault="00032FC4">
      <w:pPr>
        <w:pStyle w:val="Courriel"/>
      </w:pPr>
      <w:hyperlink r:id="rId7" w:history="1">
        <w:r w:rsidR="00454E80">
          <w:t>adresse@email.com</w:t>
        </w:r>
      </w:hyperlink>
    </w:p>
    <w:p w14:paraId="52BBDE94" w14:textId="77777777" w:rsidR="00CD4EF2" w:rsidRDefault="00454E80">
      <w:pPr>
        <w:pStyle w:val="Titre0"/>
      </w:pPr>
      <w:r>
        <w:t>Résumé</w:t>
      </w:r>
    </w:p>
    <w:p w14:paraId="0C56C4D6" w14:textId="77777777" w:rsidR="00CD4EF2" w:rsidRDefault="00454E80">
      <w:pPr>
        <w:pStyle w:val="Rsum"/>
      </w:pPr>
      <w:r>
        <w:t>L'objectif du présent article est d'expliciter les consignes à respecter pour la soumission d'une communication au congrès OPTIQUE Nice 2022. Cet article respecte le modèle de contribution requis, abstraction faite du nombre de pages, variables suivant les colloques. Une classe LaTeX, un modèle Word et un modèle LibreOffice visant à automatiser le respect de ces consignes sont fournis. Merci de bien vouloir respecter ce modèle !</w:t>
      </w:r>
    </w:p>
    <w:p w14:paraId="77C9FCE3" w14:textId="77777777" w:rsidR="00CD4EF2" w:rsidRDefault="00454E80">
      <w:pPr>
        <w:pStyle w:val="Mots-clefs"/>
      </w:pPr>
      <w:r>
        <w:rPr>
          <w:b/>
          <w:i w:val="0"/>
          <w:smallCaps/>
        </w:rPr>
        <w:t>Mots-clefs </w:t>
      </w:r>
      <w:r>
        <w:rPr>
          <w:b/>
          <w:i w:val="0"/>
        </w:rPr>
        <w:t>:</w:t>
      </w:r>
      <w:r>
        <w:t xml:space="preserve"> format ; article ; LibreOffice ; LaTeX.(quatre au maximum)</w:t>
      </w:r>
    </w:p>
    <w:p w14:paraId="1AF784AE" w14:textId="77777777" w:rsidR="00CD4EF2" w:rsidRDefault="00454E80">
      <w:pPr>
        <w:pStyle w:val="Titre1"/>
        <w:numPr>
          <w:ilvl w:val="0"/>
          <w:numId w:val="2"/>
        </w:numPr>
      </w:pPr>
      <w:r>
        <w:t>Introduction</w:t>
      </w:r>
    </w:p>
    <w:p w14:paraId="24A9D690" w14:textId="77777777" w:rsidR="00CD4EF2" w:rsidRDefault="00454E80">
      <w:r>
        <w:t>Le présent modèle est basé sur celui proposé par le comité d'organisation d’Optique Nice, lui-même issu du modèle des JNOG. Les actes seront constitués de l'ensemble des communications soumises et acceptées. Néanmoins, les ajouts indispensables que sont le sommaire, les numéros de page, etc. doivent résulter d'un traitement global. Afin de faciliter ce travail, nous vous prions de bien vouloir suivre quelques directives concernant le document que vous soumettrez.</w:t>
      </w:r>
    </w:p>
    <w:p w14:paraId="22991381" w14:textId="77777777" w:rsidR="00CD4EF2" w:rsidRDefault="00454E80">
      <w:pPr>
        <w:pStyle w:val="Titre1"/>
      </w:pPr>
      <w:r>
        <w:t>Consignes &amp; recommandations</w:t>
      </w:r>
    </w:p>
    <w:p w14:paraId="658DF063" w14:textId="5D7C2031" w:rsidR="00CD4EF2" w:rsidRDefault="00454E80">
      <w:pPr>
        <w:ind w:firstLine="0"/>
      </w:pPr>
      <w:r>
        <w:t xml:space="preserve">Votre contribution </w:t>
      </w:r>
      <w:r w:rsidR="001229C7">
        <w:t xml:space="preserve">est à rédiger </w:t>
      </w:r>
      <w:r>
        <w:rPr>
          <w:b/>
        </w:rPr>
        <w:t>en langue française</w:t>
      </w:r>
      <w:r>
        <w:t xml:space="preserve">. </w:t>
      </w:r>
      <w:r w:rsidR="001229C7" w:rsidRPr="001229C7">
        <w:t>Les contributions en anglais sont également acceptées.</w:t>
      </w:r>
      <w:r>
        <w:t xml:space="preserve"> </w:t>
      </w:r>
      <w:r w:rsidR="004D7006">
        <w:t>A ne</w:t>
      </w:r>
      <w:r>
        <w:t xml:space="preserve"> pas excéder</w:t>
      </w:r>
      <w:r>
        <w:rPr>
          <w:b/>
          <w:shd w:val="clear" w:color="auto" w:fill="FFFF00"/>
        </w:rPr>
        <w:t xml:space="preserve"> 2 pages A4 (3 pages pour JNOG)</w:t>
      </w:r>
      <w:r>
        <w:t>.</w:t>
      </w:r>
    </w:p>
    <w:p w14:paraId="114BEC78" w14:textId="77777777" w:rsidR="00CD4EF2" w:rsidRDefault="00454E80">
      <w:pPr>
        <w:ind w:firstLine="0"/>
      </w:pPr>
      <w:r>
        <w:t>Elle sera soumise sur le site de la conférence [</w:t>
      </w:r>
      <w:r>
        <w:rPr>
          <w:rStyle w:val="Appeldenotedefin"/>
        </w:rPr>
        <w:endnoteReference w:id="1"/>
      </w:r>
      <w:r>
        <w:t xml:space="preserve">], </w:t>
      </w:r>
      <w:r>
        <w:rPr>
          <w:b/>
        </w:rPr>
        <w:t>sous la forme d’un document au format PDF, sans en-tête ni numérotation des pages, possédant une marge verticale de 32,5 mm</w:t>
      </w:r>
      <w:r>
        <w:t xml:space="preserve"> (haut et bas de page) et </w:t>
      </w:r>
      <w:r>
        <w:rPr>
          <w:b/>
        </w:rPr>
        <w:t>une marge horizontale de 27 mm</w:t>
      </w:r>
      <w:r>
        <w:t xml:space="preserve"> (gauche et droite).</w:t>
      </w:r>
    </w:p>
    <w:p w14:paraId="28BB7DA7" w14:textId="77777777" w:rsidR="00CD4EF2" w:rsidRDefault="00454E80">
      <w:r>
        <w:t>Les instructions suivantes, relevant de considérations moins pratiques qu'esthétiques, ne revêtent pas le caractère impératif des précédentes. Toutefois, leur respect permettra une meilleure lisibilité des actes dans leur ensemble, du simple fait de leur cohérence.</w:t>
      </w:r>
    </w:p>
    <w:p w14:paraId="3BD04323" w14:textId="77777777" w:rsidR="00CD4EF2" w:rsidRDefault="00454E80">
      <w:r>
        <w:t xml:space="preserve">Sauf contre-indication, </w:t>
      </w:r>
      <w:r>
        <w:rPr>
          <w:b/>
        </w:rPr>
        <w:t xml:space="preserve">la police de caractères utilisée est </w:t>
      </w:r>
      <w:r>
        <w:rPr>
          <w:b/>
          <w:i/>
          <w:iCs/>
        </w:rPr>
        <w:t>Times</w:t>
      </w:r>
      <w:r>
        <w:rPr>
          <w:b/>
        </w:rPr>
        <w:t xml:space="preserve"> ou </w:t>
      </w:r>
      <w:r>
        <w:rPr>
          <w:b/>
          <w:i/>
          <w:iCs/>
        </w:rPr>
        <w:t>Times New Roman</w:t>
      </w:r>
      <w:r>
        <w:t>, de taille 11 pt, l’espacement entre paragraphes (avant et après) est de 0 pt, sans retrait de 1ère ligne, justifié à gauche et à droite en évitant veuves et orphelins, l’interligne est simple. Plus particulièrement, les recommandations pour chaque style sont les suivantes :</w:t>
      </w:r>
    </w:p>
    <w:p w14:paraId="3FAC7CE4" w14:textId="77777777" w:rsidR="00CD4EF2" w:rsidRDefault="00454E80">
      <w:pPr>
        <w:numPr>
          <w:ilvl w:val="0"/>
          <w:numId w:val="3"/>
        </w:numPr>
      </w:pPr>
      <w:r>
        <w:rPr>
          <w:b/>
        </w:rPr>
        <w:t>Titre </w:t>
      </w:r>
      <w:r>
        <w:t>: centré, gras, en petites capitales et de taille 14 pt, espacements avant/après de 0/19 pt ;</w:t>
      </w:r>
    </w:p>
    <w:p w14:paraId="5740153D" w14:textId="77777777" w:rsidR="00CD4EF2" w:rsidRDefault="00454E80">
      <w:pPr>
        <w:numPr>
          <w:ilvl w:val="0"/>
          <w:numId w:val="3"/>
        </w:numPr>
      </w:pPr>
      <w:r>
        <w:rPr>
          <w:b/>
        </w:rPr>
        <w:t>Auteurs </w:t>
      </w:r>
      <w:r>
        <w:t>: centré, gras, espacements avant / après de 0/6 pt ;</w:t>
      </w:r>
    </w:p>
    <w:p w14:paraId="507B99E7" w14:textId="77777777" w:rsidR="00CD4EF2" w:rsidRDefault="00454E80">
      <w:pPr>
        <w:numPr>
          <w:ilvl w:val="0"/>
          <w:numId w:val="3"/>
        </w:numPr>
      </w:pPr>
      <w:r>
        <w:rPr>
          <w:b/>
        </w:rPr>
        <w:t>Institutions </w:t>
      </w:r>
      <w:r>
        <w:t>: centré et italique, espacements avant / après de 0 pt ;</w:t>
      </w:r>
    </w:p>
    <w:p w14:paraId="30CC1D78" w14:textId="77777777" w:rsidR="00CD4EF2" w:rsidRDefault="00454E80">
      <w:pPr>
        <w:numPr>
          <w:ilvl w:val="0"/>
          <w:numId w:val="3"/>
        </w:numPr>
      </w:pPr>
      <w:r>
        <w:rPr>
          <w:b/>
        </w:rPr>
        <w:t>Adresse électronique</w:t>
      </w:r>
      <w:r>
        <w:t> : centré et de taille 10 pt, espacements avant/après de 6 pt ;</w:t>
      </w:r>
    </w:p>
    <w:p w14:paraId="21934350" w14:textId="77777777" w:rsidR="00CD4EF2" w:rsidRDefault="00454E80">
      <w:pPr>
        <w:numPr>
          <w:ilvl w:val="0"/>
          <w:numId w:val="3"/>
        </w:numPr>
      </w:pPr>
      <w:r>
        <w:rPr>
          <w:b/>
        </w:rPr>
        <w:lastRenderedPageBreak/>
        <w:t>Résumé </w:t>
      </w:r>
      <w:r>
        <w:t>: maximum 350 caractères espaces compris ; centré, retraits latéraux de 10 mm, sans retrait de première ligne, espacements avant/après de 0 pt ;</w:t>
      </w:r>
    </w:p>
    <w:p w14:paraId="298A08D0" w14:textId="77777777" w:rsidR="00CD4EF2" w:rsidRDefault="00454E80">
      <w:pPr>
        <w:numPr>
          <w:ilvl w:val="0"/>
          <w:numId w:val="3"/>
        </w:numPr>
      </w:pPr>
      <w:r>
        <w:rPr>
          <w:b/>
        </w:rPr>
        <w:t>Mots-clefs</w:t>
      </w:r>
      <w:r>
        <w:t> : un à quatre mots-clés, en italique, retraits latéraux de 10 mm, sans retrait de première ligne, espacements avant/après de 0/6 pt ;</w:t>
      </w:r>
    </w:p>
    <w:p w14:paraId="2F80E89C" w14:textId="77777777" w:rsidR="00CD4EF2" w:rsidRDefault="00454E80">
      <w:pPr>
        <w:numPr>
          <w:ilvl w:val="0"/>
          <w:numId w:val="3"/>
        </w:numPr>
      </w:pPr>
      <w:r>
        <w:rPr>
          <w:b/>
        </w:rPr>
        <w:t>Titres de section</w:t>
      </w:r>
      <w:r>
        <w:t> : centré, gras, petites capitales et numérotés, espacements avant/après de 6 pt ;</w:t>
      </w:r>
    </w:p>
    <w:p w14:paraId="7F68625D" w14:textId="77777777" w:rsidR="00CD4EF2" w:rsidRDefault="00454E80">
      <w:pPr>
        <w:numPr>
          <w:ilvl w:val="0"/>
          <w:numId w:val="3"/>
        </w:numPr>
      </w:pPr>
      <w:r>
        <w:rPr>
          <w:b/>
        </w:rPr>
        <w:t>Paragraphes</w:t>
      </w:r>
      <w:r>
        <w:t> : délimité par un retrait de première ligne de 10 mm (pas de saut de ligne), espacements avant/après de 0 pt ;</w:t>
      </w:r>
    </w:p>
    <w:p w14:paraId="629284BE" w14:textId="77777777" w:rsidR="00CD4EF2" w:rsidRDefault="00454E80">
      <w:pPr>
        <w:numPr>
          <w:ilvl w:val="0"/>
          <w:numId w:val="3"/>
        </w:numPr>
      </w:pPr>
      <w:r>
        <w:rPr>
          <w:b/>
        </w:rPr>
        <w:t>Légendes</w:t>
      </w:r>
      <w:r>
        <w:t> : centrées et de taille 10 pt, numérotées, au-dessous d’une figure, au-dessus d’un tableau, sans retrait de première ligne ;</w:t>
      </w:r>
    </w:p>
    <w:p w14:paraId="29FB49B6" w14:textId="77777777" w:rsidR="00CD4EF2" w:rsidRDefault="00454E80">
      <w:pPr>
        <w:numPr>
          <w:ilvl w:val="0"/>
          <w:numId w:val="3"/>
        </w:numPr>
      </w:pPr>
      <w:r>
        <w:rPr>
          <w:b/>
        </w:rPr>
        <w:t>Equations</w:t>
      </w:r>
      <w:r>
        <w:t> : centrées et numérotées (numéro aligné avec la marge droite du texte), espacements avant/après de 2 pt ;</w:t>
      </w:r>
    </w:p>
    <w:p w14:paraId="2847990B" w14:textId="77777777" w:rsidR="00CD4EF2" w:rsidRDefault="00454E80">
      <w:pPr>
        <w:numPr>
          <w:ilvl w:val="0"/>
          <w:numId w:val="3"/>
        </w:numPr>
      </w:pPr>
      <w:r>
        <w:rPr>
          <w:b/>
        </w:rPr>
        <w:t>Références</w:t>
      </w:r>
      <w:r>
        <w:t> : taille 10 pt, numérotées entre crochets, en fin de document, espacements avant / après de 0 pt, et un retrait négatif de première ligne de 0,7 cm.</w:t>
      </w:r>
    </w:p>
    <w:p w14:paraId="5DC7113D" w14:textId="77777777" w:rsidR="00CD4EF2" w:rsidRDefault="00454E80">
      <w:pPr>
        <w:numPr>
          <w:ilvl w:val="0"/>
          <w:numId w:val="3"/>
        </w:numPr>
      </w:pPr>
      <w:r>
        <w:t>Ces détails fastidieux sont automatiques lorsque les modèles sont utilisés, cf. ci-dessous.</w:t>
      </w:r>
    </w:p>
    <w:p w14:paraId="38ED2D9F" w14:textId="77777777" w:rsidR="00CD4EF2" w:rsidRDefault="00454E80">
      <w:pPr>
        <w:pStyle w:val="Titre1"/>
      </w:pPr>
      <w:r>
        <w:t>Exemples de Figures, tableaux, équations &amp; références</w:t>
      </w:r>
    </w:p>
    <w:p w14:paraId="7DFC0C24" w14:textId="77777777" w:rsidR="00CD4EF2" w:rsidRDefault="00454E80">
      <w:r>
        <w:t>Les figures en couleur sont les bienvenues. Il est recommandé que la largeur de la figure ne dépasse pas la largeur du texte (15,6 cm), soit centrée, et sans retrait de paragraphe. La qualité des figures doit être de 300 dpi minimum. Les utilisateurs LaTeX n'auront aucun problème de qualité en utilisant des figures au format pdf issues d'un fichier vectoriel. Concernant les utilisateurs de Word, nous conseillons des fichiers au format tiff utilisant le mode de couleur RVB afin d'assurer une bonne qualité, à l'écran aux formats doc et pdf, et à l'impression.</w:t>
      </w:r>
    </w:p>
    <w:p w14:paraId="496ACA0C" w14:textId="77777777" w:rsidR="00CD4EF2" w:rsidRDefault="00CD4EF2"/>
    <w:p w14:paraId="20D609B3" w14:textId="77777777" w:rsidR="00CD4EF2" w:rsidRDefault="00454E80">
      <w:r>
        <w:rPr>
          <w:noProof/>
        </w:rPr>
        <mc:AlternateContent>
          <mc:Choice Requires="wps">
            <w:drawing>
              <wp:anchor distT="0" distB="0" distL="114300" distR="114300" simplePos="0" relativeHeight="251658240" behindDoc="0" locked="0" layoutInCell="1" allowOverlap="1" wp14:anchorId="0FF2F0FA" wp14:editId="76135CFE">
                <wp:simplePos x="0" y="0"/>
                <wp:positionH relativeFrom="column">
                  <wp:align>center</wp:align>
                </wp:positionH>
                <wp:positionV relativeFrom="paragraph">
                  <wp:align>top</wp:align>
                </wp:positionV>
                <wp:extent cx="5615943" cy="2540002"/>
                <wp:effectExtent l="0" t="0" r="3807" b="12698"/>
                <wp:wrapSquare wrapText="bothSides"/>
                <wp:docPr id="1" name="Cadre1"/>
                <wp:cNvGraphicFramePr/>
                <a:graphic xmlns:a="http://schemas.openxmlformats.org/drawingml/2006/main">
                  <a:graphicData uri="http://schemas.microsoft.com/office/word/2010/wordprocessingShape">
                    <wps:wsp>
                      <wps:cNvSpPr txBox="1"/>
                      <wps:spPr>
                        <a:xfrm>
                          <a:off x="0" y="0"/>
                          <a:ext cx="5615943" cy="2540002"/>
                        </a:xfrm>
                        <a:prstGeom prst="rect">
                          <a:avLst/>
                        </a:prstGeom>
                        <a:noFill/>
                        <a:ln>
                          <a:noFill/>
                          <a:prstDash/>
                        </a:ln>
                      </wps:spPr>
                      <wps:txbx>
                        <w:txbxContent>
                          <w:p w14:paraId="73EFA100" w14:textId="77777777" w:rsidR="00CD4EF2" w:rsidRDefault="00454E80">
                            <w:pPr>
                              <w:pStyle w:val="Figure"/>
                              <w:tabs>
                                <w:tab w:val="left" w:pos="3964"/>
                                <w:tab w:val="left" w:pos="3975"/>
                                <w:tab w:val="left" w:pos="7232"/>
                              </w:tabs>
                              <w:jc w:val="center"/>
                              <w:rPr>
                                <w:vanish/>
                              </w:rPr>
                            </w:pPr>
                            <w:r>
                              <w:rPr>
                                <w:vanish/>
                              </w:rPr>
                              <w:br/>
                            </w:r>
                          </w:p>
                          <w:p w14:paraId="4B0061DA" w14:textId="77777777" w:rsidR="00CD4EF2" w:rsidRDefault="00454E80">
                            <w:pPr>
                              <w:pStyle w:val="Lgendes"/>
                            </w:pPr>
                            <w:r>
                              <w:t>Figure 1 : Diagramme de phase du second mode des fibres optiques microstructurées a cœur plein constituée d'indice n</w:t>
                            </w:r>
                            <w:r>
                              <w:rPr>
                                <w:vertAlign w:val="subscript"/>
                              </w:rPr>
                              <w:t>i</w:t>
                            </w:r>
                            <w:r>
                              <w:t xml:space="preserve"> = 1 pour différentes matrices de haut indice n</w:t>
                            </w:r>
                            <w:r>
                              <w:rPr>
                                <w:vertAlign w:val="subscript"/>
                              </w:rPr>
                              <w:t>mat</w:t>
                            </w:r>
                            <w:r>
                              <w:t>.</w:t>
                            </w:r>
                          </w:p>
                        </w:txbxContent>
                      </wps:txbx>
                      <wps:bodyPr vert="horz" wrap="none" lIns="0" tIns="0" rIns="0" bIns="0" anchor="t" anchorCtr="0" compatLnSpc="0">
                        <a:spAutoFit/>
                      </wps:bodyPr>
                    </wps:wsp>
                  </a:graphicData>
                </a:graphic>
              </wp:anchor>
            </w:drawing>
          </mc:Choice>
          <mc:Fallback>
            <w:pict>
              <v:shapetype w14:anchorId="0FF2F0FA" id="_x0000_t202" coordsize="21600,21600" o:spt="202" path="m,l,21600r21600,l21600,xe">
                <v:stroke joinstyle="miter"/>
                <v:path gradientshapeok="t" o:connecttype="rect"/>
              </v:shapetype>
              <v:shape id="Cadre1" o:spid="_x0000_s1026" type="#_x0000_t202" style="position:absolute;left:0;text-align:left;margin-left:0;margin-top:0;width:442.2pt;height:200pt;z-index:251658240;visibility:visible;mso-wrap-style:none;mso-wrap-distance-left:9pt;mso-wrap-distance-top:0;mso-wrap-distance-right:9pt;mso-wrap-distance-bottom:0;mso-position-horizontal:center;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" filled="f" stroked="f">
                <v:textbox style="mso-fit-shape-to-text:t" inset="0,0,0,0">
                  <w:txbxContent>
                    <w:p w14:paraId="73EFA100" w14:textId="77777777" w:rsidR="00CD4EF2" w:rsidRDefault="00454E80">
                      <w:pPr>
                        <w:pStyle w:val="Figure"/>
                        <w:tabs>
                          <w:tab w:val="left" w:pos="3964"/>
                          <w:tab w:val="left" w:pos="3975"/>
                          <w:tab w:val="left" w:pos="7232"/>
                        </w:tabs>
                        <w:jc w:val="center"/>
                        <w:rPr>
                          <w:vanish/>
                        </w:rPr>
                      </w:pPr>
                      <w:r>
                        <w:rPr>
                          <w:vanish/>
                        </w:rPr>
                        <w:br/>
                      </w:r>
                    </w:p>
                    <w:p w14:paraId="4B0061DA" w14:textId="77777777" w:rsidR="00CD4EF2" w:rsidRDefault="00454E80">
                      <w:pPr>
                        <w:pStyle w:val="Lgendes"/>
                      </w:pPr>
                      <w:r>
                        <w:t xml:space="preserve">Figure 1 : Diagramme de phase du second mode des fibres optiques </w:t>
                      </w:r>
                      <w:proofErr w:type="spellStart"/>
                      <w:r>
                        <w:t>microstructurées</w:t>
                      </w:r>
                      <w:proofErr w:type="spellEnd"/>
                      <w:r>
                        <w:t xml:space="preserve"> a cœur plein constituée d'indice n</w:t>
                      </w:r>
                      <w:r>
                        <w:rPr>
                          <w:vertAlign w:val="subscript"/>
                        </w:rPr>
                        <w:t>i</w:t>
                      </w:r>
                      <w:r>
                        <w:t xml:space="preserve"> = 1 pour différentes matrices de haut indice </w:t>
                      </w:r>
                      <w:proofErr w:type="spellStart"/>
                      <w:r>
                        <w:t>n</w:t>
                      </w:r>
                      <w:r>
                        <w:rPr>
                          <w:vertAlign w:val="subscript"/>
                        </w:rPr>
                        <w:t>mat</w:t>
                      </w:r>
                      <w:proofErr w:type="spellEnd"/>
                      <w:r>
                        <w:t>.</w:t>
                      </w:r>
                    </w:p>
                  </w:txbxContent>
                </v:textbox>
                <w10:wrap type="square"/>
              </v:shape>
            </w:pict>
          </mc:Fallback>
        </mc:AlternateContent>
      </w:r>
      <w:r>
        <w:t>Un exemple de tableau est aussi présenté dans le tableau 1. Il est recommandé que la largeur du tableau ne dépasse pas la largeur du texte (15,6 cm). Un exemple d’équation est présenté en Eq. (1) :</w:t>
      </w:r>
    </w:p>
    <w:p w14:paraId="4E3EDB9D" w14:textId="77777777" w:rsidR="00CD4EF2" w:rsidRDefault="00032FC4">
      <w:pPr>
        <w:jc w:val="center"/>
      </w:pPr>
      <m:oMath>
        <m:eqArr>
          <m:eqArrPr>
            <m:ctrlPr>
              <w:rPr>
                <w:rFonts w:ascii="Cambria Math" w:hAnsi="Cambria Math"/>
              </w:rPr>
            </m:ctrlPr>
          </m:eqArrPr>
          <m:e/>
          <m:e>
            <m:r>
              <w:rPr>
                <w:rFonts w:ascii="Cambria Math" w:hAnsi="Cambria Math"/>
              </w:rPr>
              <m:t>γ=</m:t>
            </m:r>
            <m:nary>
              <m:naryPr>
                <m:limLoc m:val="undOvr"/>
                <m:ctrlPr>
                  <w:rPr>
                    <w:rFonts w:ascii="Cambria Math" w:hAnsi="Cambria Math"/>
                  </w:rPr>
                </m:ctrlPr>
              </m:naryPr>
              <m:sub>
                <m:r>
                  <w:rPr>
                    <w:rFonts w:ascii="Cambria Math" w:hAnsi="Cambria Math"/>
                  </w:rPr>
                  <m:t>0</m:t>
                </m:r>
              </m:sub>
              <m:sup>
                <m:r>
                  <m:rPr>
                    <m:sty m:val="p"/>
                  </m:rPr>
                  <w:rPr>
                    <w:rFonts w:ascii="Cambria Math" w:hAnsi="Cambria Math"/>
                  </w:rPr>
                  <m:t>π</m:t>
                </m:r>
              </m:sup>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dx</m:t>
                </m:r>
              </m:e>
            </m:nary>
          </m:e>
        </m:eqArr>
      </m:oMath>
      <w:r w:rsidR="00454E80">
        <w:tab/>
        <w:t>(1)</w:t>
      </w:r>
    </w:p>
    <w:p w14:paraId="5C7BE9BB" w14:textId="77777777" w:rsidR="00CD4EF2" w:rsidRDefault="00454E80">
      <w:r>
        <w:t>Les références doivent être citées entre crochets [</w:t>
      </w:r>
      <w:r>
        <w:rPr>
          <w:rStyle w:val="Appeldenotedefin"/>
        </w:rPr>
        <w:endnoteReference w:id="2"/>
      </w:r>
      <w:r>
        <w:t>] .</w:t>
      </w:r>
    </w:p>
    <w:p w14:paraId="18C280A7" w14:textId="77777777" w:rsidR="00CD4EF2" w:rsidRDefault="00454E80">
      <w:pPr>
        <w:pStyle w:val="Titre1"/>
      </w:pPr>
      <w:r>
        <w:t>Note à l'attention des utilisateurs de Word et LibreOffice</w:t>
      </w:r>
    </w:p>
    <w:p w14:paraId="78CE58B6" w14:textId="77777777" w:rsidR="00CD4EF2" w:rsidRDefault="00454E80">
      <w:r>
        <w:t>Si vous n'avez pas l'habitude d'utiliser les modèles et les styles, notez que la sélection se fait via le menu déroulant de style (par défaut à gauche de celui des polices) ou Format/Styles. Pour plus de renseignements, de très bons conseils et documentations sont disponibles sur internet [</w:t>
      </w:r>
      <w:r>
        <w:rPr>
          <w:rStyle w:val="Appeldenotedefin"/>
        </w:rPr>
        <w:endnoteReference w:id="3"/>
      </w:r>
      <w:r>
        <w:t>]. Vous pouvez vous référer au tableau 1 pour un descriptif des styles définis dans le document modèle au format Word.</w:t>
      </w:r>
    </w:p>
    <w:p w14:paraId="1F2E3A5A" w14:textId="77777777" w:rsidR="00CD4EF2" w:rsidRDefault="00454E80">
      <w:pPr>
        <w:pStyle w:val="Lgendes"/>
      </w:pPr>
      <w:r>
        <w:t>Tab. 1 : Liste des styles disponibles dans le modèle au format Word/LibreOffice</w:t>
      </w:r>
    </w:p>
    <w:tbl>
      <w:tblPr>
        <w:tblW w:w="6226" w:type="dxa"/>
        <w:jc w:val="center"/>
        <w:tblLayout w:type="fixed"/>
        <w:tblCellMar>
          <w:left w:w="10" w:type="dxa"/>
          <w:right w:w="10" w:type="dxa"/>
        </w:tblCellMar>
        <w:tblLook w:val="0000" w:firstRow="0" w:lastRow="0" w:firstColumn="0" w:lastColumn="0" w:noHBand="0" w:noVBand="0"/>
      </w:tblPr>
      <w:tblGrid>
        <w:gridCol w:w="1638"/>
        <w:gridCol w:w="4588"/>
      </w:tblGrid>
      <w:tr w:rsidR="00CD4EF2" w14:paraId="761ABC3C" w14:textId="77777777">
        <w:trPr>
          <w:trHeight w:hRule="exact" w:val="352"/>
          <w:jc w:val="center"/>
        </w:trPr>
        <w:tc>
          <w:tcPr>
            <w:tcW w:w="1638" w:type="dxa"/>
            <w:tcBorders>
              <w:top w:val="single" w:sz="2" w:space="0" w:color="000000"/>
              <w:left w:val="single" w:sz="2" w:space="0" w:color="000000"/>
              <w:bottom w:val="double" w:sz="4" w:space="0" w:color="000000"/>
            </w:tcBorders>
            <w:shd w:val="clear" w:color="auto" w:fill="auto"/>
            <w:tcMar>
              <w:top w:w="55" w:type="dxa"/>
              <w:left w:w="55" w:type="dxa"/>
              <w:bottom w:w="55" w:type="dxa"/>
              <w:right w:w="55" w:type="dxa"/>
            </w:tcMar>
          </w:tcPr>
          <w:p w14:paraId="4B814877" w14:textId="77777777" w:rsidR="00CD4EF2" w:rsidRDefault="00454E80">
            <w:pPr>
              <w:pStyle w:val="TableContents"/>
              <w:rPr>
                <w:rFonts w:ascii="Times" w:hAnsi="Times"/>
                <w:b/>
                <w:bCs/>
                <w:sz w:val="28"/>
                <w:szCs w:val="28"/>
              </w:rPr>
            </w:pPr>
            <w:r>
              <w:rPr>
                <w:rFonts w:ascii="Times" w:hAnsi="Times"/>
                <w:b/>
                <w:bCs/>
                <w:sz w:val="28"/>
                <w:szCs w:val="28"/>
              </w:rPr>
              <w:t>Nom du style</w:t>
            </w:r>
          </w:p>
        </w:tc>
        <w:tc>
          <w:tcPr>
            <w:tcW w:w="4588" w:type="dxa"/>
            <w:tcBorders>
              <w:top w:val="single" w:sz="2" w:space="0" w:color="000000"/>
              <w:left w:val="single" w:sz="2" w:space="0" w:color="000000"/>
              <w:bottom w:val="double" w:sz="4" w:space="0" w:color="000000"/>
              <w:right w:val="single" w:sz="2" w:space="0" w:color="000000"/>
            </w:tcBorders>
            <w:shd w:val="clear" w:color="auto" w:fill="auto"/>
            <w:tcMar>
              <w:top w:w="55" w:type="dxa"/>
              <w:left w:w="55" w:type="dxa"/>
              <w:bottom w:w="55" w:type="dxa"/>
              <w:right w:w="55" w:type="dxa"/>
            </w:tcMar>
          </w:tcPr>
          <w:p w14:paraId="39C5D8CB" w14:textId="77777777" w:rsidR="00CD4EF2" w:rsidRDefault="00454E80">
            <w:pPr>
              <w:pStyle w:val="TableContents"/>
              <w:rPr>
                <w:rFonts w:ascii="Times" w:hAnsi="Times"/>
                <w:b/>
                <w:bCs/>
                <w:sz w:val="28"/>
                <w:szCs w:val="28"/>
              </w:rPr>
            </w:pPr>
            <w:r>
              <w:rPr>
                <w:rFonts w:ascii="Times" w:hAnsi="Times"/>
                <w:b/>
                <w:bCs/>
                <w:sz w:val="28"/>
                <w:szCs w:val="28"/>
              </w:rPr>
              <w:t>Description</w:t>
            </w:r>
          </w:p>
        </w:tc>
      </w:tr>
      <w:tr w:rsidR="00CD4EF2" w14:paraId="18147BF5" w14:textId="77777777">
        <w:trPr>
          <w:trHeight w:hRule="exact" w:val="387"/>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7AB4377D" w14:textId="77777777" w:rsidR="00CD4EF2" w:rsidRDefault="00454E80">
            <w:pPr>
              <w:pStyle w:val="TableContents"/>
              <w:rPr>
                <w:rFonts w:ascii="Times" w:hAnsi="Times"/>
                <w:sz w:val="28"/>
                <w:szCs w:val="28"/>
              </w:rPr>
            </w:pPr>
            <w:r>
              <w:rPr>
                <w:rFonts w:ascii="Times" w:hAnsi="Times"/>
                <w:sz w:val="28"/>
                <w:szCs w:val="28"/>
              </w:rPr>
              <w:t>Titre</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C1B39D" w14:textId="77777777" w:rsidR="00CD4EF2" w:rsidRDefault="00454E80">
            <w:pPr>
              <w:pStyle w:val="TableContents"/>
              <w:rPr>
                <w:rFonts w:ascii="Times" w:hAnsi="Times"/>
                <w:sz w:val="28"/>
                <w:szCs w:val="28"/>
              </w:rPr>
            </w:pPr>
            <w:r>
              <w:rPr>
                <w:rFonts w:ascii="Times" w:hAnsi="Times"/>
                <w:sz w:val="28"/>
                <w:szCs w:val="28"/>
              </w:rPr>
              <w:t>Titre de la communication</w:t>
            </w:r>
          </w:p>
        </w:tc>
      </w:tr>
      <w:tr w:rsidR="00CD4EF2" w14:paraId="3F84A335" w14:textId="77777777">
        <w:trPr>
          <w:trHeight w:hRule="exact" w:val="352"/>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64E42B76" w14:textId="77777777" w:rsidR="00CD4EF2" w:rsidRDefault="00454E80">
            <w:pPr>
              <w:pStyle w:val="TableContents"/>
              <w:rPr>
                <w:rFonts w:ascii="Times" w:hAnsi="Times"/>
                <w:sz w:val="28"/>
                <w:szCs w:val="28"/>
              </w:rPr>
            </w:pPr>
            <w:r>
              <w:rPr>
                <w:rFonts w:ascii="Times" w:hAnsi="Times"/>
                <w:sz w:val="28"/>
                <w:szCs w:val="28"/>
              </w:rPr>
              <w:lastRenderedPageBreak/>
              <w:t>Auteur</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643652" w14:textId="77777777" w:rsidR="00CD4EF2" w:rsidRDefault="00454E80">
            <w:pPr>
              <w:pStyle w:val="TableContents"/>
              <w:rPr>
                <w:rFonts w:ascii="Times" w:hAnsi="Times"/>
                <w:sz w:val="28"/>
                <w:szCs w:val="28"/>
              </w:rPr>
            </w:pPr>
            <w:r>
              <w:rPr>
                <w:rFonts w:ascii="Times" w:hAnsi="Times"/>
                <w:sz w:val="28"/>
                <w:szCs w:val="28"/>
              </w:rPr>
              <w:t>Auteurs de la communication</w:t>
            </w:r>
          </w:p>
        </w:tc>
      </w:tr>
      <w:tr w:rsidR="00CD4EF2" w14:paraId="33B6996C" w14:textId="77777777">
        <w:trPr>
          <w:trHeight w:hRule="exact" w:val="352"/>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5E7603AA" w14:textId="77777777" w:rsidR="00CD4EF2" w:rsidRDefault="00454E80">
            <w:pPr>
              <w:pStyle w:val="TableContents"/>
              <w:rPr>
                <w:rFonts w:ascii="Times" w:hAnsi="Times"/>
                <w:sz w:val="28"/>
                <w:szCs w:val="28"/>
              </w:rPr>
            </w:pPr>
            <w:r>
              <w:rPr>
                <w:rFonts w:ascii="Times" w:hAnsi="Times"/>
                <w:sz w:val="28"/>
                <w:szCs w:val="28"/>
              </w:rPr>
              <w:t>Institution</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7781AC" w14:textId="77777777" w:rsidR="00CD4EF2" w:rsidRDefault="00454E80">
            <w:pPr>
              <w:pStyle w:val="TableContents"/>
              <w:rPr>
                <w:rFonts w:ascii="Times" w:hAnsi="Times"/>
                <w:sz w:val="28"/>
                <w:szCs w:val="28"/>
              </w:rPr>
            </w:pPr>
            <w:r>
              <w:rPr>
                <w:rFonts w:ascii="Times" w:hAnsi="Times"/>
                <w:sz w:val="28"/>
                <w:szCs w:val="28"/>
              </w:rPr>
              <w:t>Institutions auxquelles appartiennent les auteurs</w:t>
            </w:r>
          </w:p>
        </w:tc>
      </w:tr>
      <w:tr w:rsidR="00CD4EF2" w14:paraId="4B65D630" w14:textId="77777777">
        <w:trPr>
          <w:trHeight w:hRule="exact" w:val="352"/>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7F289A79" w14:textId="77777777" w:rsidR="00CD4EF2" w:rsidRDefault="00454E80">
            <w:pPr>
              <w:pStyle w:val="TableContents"/>
              <w:rPr>
                <w:rFonts w:ascii="Times" w:hAnsi="Times"/>
                <w:sz w:val="28"/>
                <w:szCs w:val="28"/>
              </w:rPr>
            </w:pPr>
            <w:r>
              <w:rPr>
                <w:rFonts w:ascii="Times" w:hAnsi="Times"/>
                <w:sz w:val="28"/>
                <w:szCs w:val="28"/>
              </w:rPr>
              <w:t>Courriel</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BB16C8" w14:textId="77777777" w:rsidR="00CD4EF2" w:rsidRDefault="00454E80">
            <w:pPr>
              <w:pStyle w:val="TableContents"/>
              <w:rPr>
                <w:rFonts w:ascii="Times" w:hAnsi="Times"/>
                <w:sz w:val="28"/>
                <w:szCs w:val="28"/>
              </w:rPr>
            </w:pPr>
            <w:r>
              <w:rPr>
                <w:rFonts w:ascii="Times" w:hAnsi="Times"/>
                <w:sz w:val="28"/>
                <w:szCs w:val="28"/>
              </w:rPr>
              <w:t>Adresse électronique (facultative) d’un des auteurs</w:t>
            </w:r>
          </w:p>
        </w:tc>
      </w:tr>
      <w:tr w:rsidR="00CD4EF2" w14:paraId="2162557E" w14:textId="77777777">
        <w:trPr>
          <w:trHeight w:hRule="exact" w:val="352"/>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1CD6DFFB" w14:textId="77777777" w:rsidR="00CD4EF2" w:rsidRDefault="00454E80">
            <w:pPr>
              <w:pStyle w:val="TableContents"/>
              <w:rPr>
                <w:rFonts w:ascii="Times" w:hAnsi="Times"/>
                <w:sz w:val="28"/>
                <w:szCs w:val="28"/>
              </w:rPr>
            </w:pPr>
            <w:r>
              <w:rPr>
                <w:rFonts w:ascii="Times" w:hAnsi="Times"/>
                <w:sz w:val="28"/>
                <w:szCs w:val="28"/>
              </w:rPr>
              <w:t>Titre0</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5B7347" w14:textId="77777777" w:rsidR="00CD4EF2" w:rsidRDefault="00454E80">
            <w:pPr>
              <w:pStyle w:val="TableContents"/>
              <w:rPr>
                <w:rFonts w:ascii="Times" w:hAnsi="Times"/>
                <w:sz w:val="28"/>
                <w:szCs w:val="28"/>
              </w:rPr>
            </w:pPr>
            <w:r>
              <w:rPr>
                <w:rFonts w:ascii="Times" w:hAnsi="Times"/>
                <w:sz w:val="28"/>
                <w:szCs w:val="28"/>
              </w:rPr>
              <w:t>Titre de section sans numéro</w:t>
            </w:r>
          </w:p>
        </w:tc>
      </w:tr>
      <w:tr w:rsidR="00CD4EF2" w14:paraId="524FA063" w14:textId="77777777">
        <w:trPr>
          <w:trHeight w:hRule="exact" w:val="352"/>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54768F6D" w14:textId="77777777" w:rsidR="00CD4EF2" w:rsidRDefault="00454E80">
            <w:pPr>
              <w:pStyle w:val="TableContents"/>
              <w:rPr>
                <w:rFonts w:ascii="Times" w:hAnsi="Times"/>
                <w:sz w:val="28"/>
                <w:szCs w:val="28"/>
              </w:rPr>
            </w:pPr>
            <w:r>
              <w:rPr>
                <w:rFonts w:ascii="Times" w:hAnsi="Times"/>
                <w:sz w:val="28"/>
                <w:szCs w:val="28"/>
              </w:rPr>
              <w:t>Titre1</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691B77" w14:textId="77777777" w:rsidR="00CD4EF2" w:rsidRDefault="00454E80">
            <w:pPr>
              <w:pStyle w:val="TableContents"/>
              <w:rPr>
                <w:rFonts w:ascii="Times" w:hAnsi="Times"/>
                <w:sz w:val="28"/>
                <w:szCs w:val="28"/>
              </w:rPr>
            </w:pPr>
            <w:r>
              <w:rPr>
                <w:rFonts w:ascii="Times" w:hAnsi="Times"/>
                <w:sz w:val="28"/>
                <w:szCs w:val="28"/>
              </w:rPr>
              <w:t>Titre de section avec numéro</w:t>
            </w:r>
          </w:p>
        </w:tc>
      </w:tr>
      <w:tr w:rsidR="00CD4EF2" w14:paraId="33963ED2" w14:textId="77777777">
        <w:trPr>
          <w:trHeight w:hRule="exact" w:val="352"/>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53C8CEFB" w14:textId="77777777" w:rsidR="00CD4EF2" w:rsidRDefault="00454E80">
            <w:pPr>
              <w:pStyle w:val="TableContents"/>
              <w:rPr>
                <w:rFonts w:ascii="Times" w:hAnsi="Times"/>
                <w:sz w:val="28"/>
                <w:szCs w:val="28"/>
              </w:rPr>
            </w:pPr>
            <w:r>
              <w:rPr>
                <w:rFonts w:ascii="Times" w:hAnsi="Times"/>
                <w:sz w:val="28"/>
                <w:szCs w:val="28"/>
              </w:rPr>
              <w:t>Résumé</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B944EE" w14:textId="77777777" w:rsidR="00CD4EF2" w:rsidRDefault="00454E80">
            <w:pPr>
              <w:pStyle w:val="TableContents"/>
              <w:rPr>
                <w:rFonts w:ascii="Times" w:hAnsi="Times"/>
                <w:sz w:val="28"/>
                <w:szCs w:val="28"/>
              </w:rPr>
            </w:pPr>
            <w:r>
              <w:rPr>
                <w:rFonts w:ascii="Times" w:hAnsi="Times"/>
                <w:sz w:val="28"/>
                <w:szCs w:val="28"/>
              </w:rPr>
              <w:t>Résumé de la communication</w:t>
            </w:r>
          </w:p>
        </w:tc>
      </w:tr>
      <w:tr w:rsidR="00CD4EF2" w14:paraId="567EBEBE" w14:textId="77777777">
        <w:trPr>
          <w:trHeight w:hRule="exact" w:val="352"/>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25F4C865" w14:textId="77777777" w:rsidR="00CD4EF2" w:rsidRDefault="00454E80">
            <w:pPr>
              <w:pStyle w:val="TableContents"/>
              <w:rPr>
                <w:rFonts w:ascii="Times" w:hAnsi="Times"/>
                <w:sz w:val="28"/>
                <w:szCs w:val="28"/>
              </w:rPr>
            </w:pPr>
            <w:r>
              <w:rPr>
                <w:rFonts w:ascii="Times" w:hAnsi="Times"/>
                <w:sz w:val="28"/>
                <w:szCs w:val="28"/>
              </w:rPr>
              <w:t>Mots-clefs</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B896D2" w14:textId="77777777" w:rsidR="00CD4EF2" w:rsidRDefault="00454E80">
            <w:pPr>
              <w:pStyle w:val="TableContents"/>
              <w:rPr>
                <w:rFonts w:ascii="Times" w:hAnsi="Times"/>
                <w:sz w:val="28"/>
                <w:szCs w:val="28"/>
              </w:rPr>
            </w:pPr>
            <w:r>
              <w:rPr>
                <w:rFonts w:ascii="Times" w:hAnsi="Times"/>
                <w:sz w:val="28"/>
                <w:szCs w:val="28"/>
              </w:rPr>
              <w:t>Mots-clefs représentatifs de la communication</w:t>
            </w:r>
          </w:p>
        </w:tc>
      </w:tr>
      <w:tr w:rsidR="00CD4EF2" w14:paraId="334B6534" w14:textId="77777777">
        <w:trPr>
          <w:trHeight w:hRule="exact" w:val="352"/>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576871AA" w14:textId="77777777" w:rsidR="00CD4EF2" w:rsidRDefault="00454E80">
            <w:pPr>
              <w:pStyle w:val="TableContents"/>
              <w:rPr>
                <w:rFonts w:ascii="Times" w:hAnsi="Times"/>
                <w:sz w:val="28"/>
                <w:szCs w:val="28"/>
              </w:rPr>
            </w:pPr>
            <w:r>
              <w:rPr>
                <w:rFonts w:ascii="Times" w:hAnsi="Times"/>
                <w:sz w:val="28"/>
                <w:szCs w:val="28"/>
              </w:rPr>
              <w:t>Normal</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DD5D26" w14:textId="77777777" w:rsidR="00CD4EF2" w:rsidRDefault="00454E80">
            <w:pPr>
              <w:pStyle w:val="TableContents"/>
              <w:rPr>
                <w:rFonts w:ascii="Times" w:hAnsi="Times"/>
                <w:sz w:val="28"/>
                <w:szCs w:val="28"/>
              </w:rPr>
            </w:pPr>
            <w:r>
              <w:rPr>
                <w:rFonts w:ascii="Times" w:hAnsi="Times"/>
                <w:sz w:val="28"/>
                <w:szCs w:val="28"/>
              </w:rPr>
              <w:t>Texte de la communication</w:t>
            </w:r>
          </w:p>
        </w:tc>
      </w:tr>
      <w:tr w:rsidR="00CD4EF2" w14:paraId="09A707CA" w14:textId="77777777">
        <w:trPr>
          <w:jc w:val="center"/>
        </w:trPr>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14:paraId="6E765308" w14:textId="77777777" w:rsidR="00CD4EF2" w:rsidRDefault="00454E80">
            <w:pPr>
              <w:pStyle w:val="TableContents"/>
              <w:rPr>
                <w:rFonts w:ascii="Times" w:hAnsi="Times"/>
                <w:sz w:val="28"/>
                <w:szCs w:val="28"/>
              </w:rPr>
            </w:pPr>
            <w:r>
              <w:rPr>
                <w:rFonts w:ascii="Times" w:hAnsi="Times"/>
                <w:sz w:val="28"/>
                <w:szCs w:val="28"/>
              </w:rPr>
              <w:t>Légendes</w:t>
            </w:r>
          </w:p>
        </w:tc>
        <w:tc>
          <w:tcPr>
            <w:tcW w:w="45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5C3D43" w14:textId="77777777" w:rsidR="00CD4EF2" w:rsidRDefault="00454E80">
            <w:pPr>
              <w:pStyle w:val="TableContents"/>
              <w:rPr>
                <w:rFonts w:ascii="Times" w:hAnsi="Times"/>
                <w:sz w:val="28"/>
                <w:szCs w:val="28"/>
              </w:rPr>
            </w:pPr>
            <w:r>
              <w:rPr>
                <w:rFonts w:ascii="Times" w:hAnsi="Times"/>
                <w:sz w:val="28"/>
                <w:szCs w:val="28"/>
              </w:rPr>
              <w:t>Légendes des figures et tableaux</w:t>
            </w:r>
          </w:p>
        </w:tc>
      </w:tr>
    </w:tbl>
    <w:p w14:paraId="67E278B1" w14:textId="77777777" w:rsidR="00CD4EF2" w:rsidRDefault="00454E80">
      <w:pPr>
        <w:pStyle w:val="Titre1"/>
      </w:pPr>
      <w:r>
        <w:t>Note à l'attention des utilisateurs de LaTeX</w:t>
      </w:r>
    </w:p>
    <w:p w14:paraId="763D13DC" w14:textId="77777777" w:rsidR="00CD4EF2" w:rsidRDefault="00454E80">
      <w:r>
        <w:rPr>
          <w:shd w:val="clear" w:color="auto" w:fill="FFFF00"/>
        </w:rPr>
        <w:t>La classe OP21.cls fournie reprend les présentes recommandations. Le fichier principal à éditer est article-OP21.tex. Le fichier references-OP21.bib contient les références bibliographiques,</w:t>
      </w:r>
      <w:r>
        <w:t xml:space="preserve"> et est donc aussi à éditer. Certains packages sont inclus dans le modèle, avec en commentaires l’adresse internet correspondante si vous avez à les installer. Les packages supplémentaires, comme à l'accoutumée, restent à votre charge via la commande \</w:t>
      </w:r>
      <w:r>
        <w:rPr>
          <w:i/>
          <w:iCs/>
        </w:rPr>
        <w:t>usepackage</w:t>
      </w:r>
      <w:r>
        <w:t>.</w:t>
      </w:r>
    </w:p>
    <w:p w14:paraId="202FDEE7" w14:textId="77777777" w:rsidR="00CD4EF2" w:rsidRDefault="00454E80">
      <w:r>
        <w:t>Les éléments en tête de l'article, du titre aux mots-clefs, sont pris en charge par \</w:t>
      </w:r>
      <w:r>
        <w:rPr>
          <w:i/>
          <w:iCs/>
        </w:rPr>
        <w:t>maketitle</w:t>
      </w:r>
      <w:r>
        <w:t>, après initialisation par les commandes ad hoc \</w:t>
      </w:r>
      <w:r>
        <w:rPr>
          <w:i/>
          <w:iCs/>
        </w:rPr>
        <w:t>title</w:t>
      </w:r>
      <w:r>
        <w:t>, \</w:t>
      </w:r>
      <w:r>
        <w:rPr>
          <w:i/>
          <w:iCs/>
        </w:rPr>
        <w:t>author</w:t>
      </w:r>
      <w:r>
        <w:t>, \institution, \</w:t>
      </w:r>
      <w:r>
        <w:rPr>
          <w:i/>
          <w:iCs/>
        </w:rPr>
        <w:t>email</w:t>
      </w:r>
      <w:r>
        <w:t>, \</w:t>
      </w:r>
      <w:r>
        <w:rPr>
          <w:i/>
          <w:iCs/>
        </w:rPr>
        <w:t>abstract</w:t>
      </w:r>
      <w:r>
        <w:t xml:space="preserve"> et \</w:t>
      </w:r>
      <w:r>
        <w:rPr>
          <w:i/>
          <w:iCs/>
        </w:rPr>
        <w:t>keywords</w:t>
      </w:r>
      <w:r>
        <w:t>. Les macros habituelles \</w:t>
      </w:r>
      <w:r>
        <w:rPr>
          <w:i/>
          <w:iCs/>
        </w:rPr>
        <w:t>section</w:t>
      </w:r>
      <w:r>
        <w:t xml:space="preserve"> et \</w:t>
      </w:r>
      <w:r>
        <w:rPr>
          <w:i/>
          <w:iCs/>
        </w:rPr>
        <w:t>section*</w:t>
      </w:r>
      <w:r>
        <w:t xml:space="preserve"> gèrent les titres de section [</w:t>
      </w:r>
      <w:r>
        <w:rPr>
          <w:rStyle w:val="Appeldenotedefin"/>
        </w:rPr>
        <w:endnoteReference w:id="4"/>
      </w:r>
      <w:r>
        <w:t>] .</w:t>
      </w:r>
    </w:p>
    <w:p w14:paraId="678700AF" w14:textId="77777777" w:rsidR="00CD4EF2" w:rsidRDefault="00454E80">
      <w:r>
        <w:t>Pour plus de détails, un petit exemple valant mieux qu'un long manuel, on se reportera aux commentaires du fichier article-OP21.tex.</w:t>
      </w:r>
    </w:p>
    <w:p w14:paraId="41321F54" w14:textId="77777777" w:rsidR="00CD4EF2" w:rsidRDefault="00454E80">
      <w:pPr>
        <w:pStyle w:val="Titre0"/>
      </w:pPr>
      <w:r>
        <w:t>Conclusion</w:t>
      </w:r>
    </w:p>
    <w:p w14:paraId="3AE8A69E" w14:textId="77777777" w:rsidR="00CD4EF2" w:rsidRDefault="00454E80">
      <w:r>
        <w:t>Les documents soumis en vue de contribuer à OPTIQUE Nice 2022 doivent répondre aux critères suivants, par ordre de priorité décroissante :</w:t>
      </w:r>
    </w:p>
    <w:p w14:paraId="0A4CD1B8" w14:textId="77777777" w:rsidR="00CD4EF2" w:rsidRDefault="00454E80">
      <w:pPr>
        <w:numPr>
          <w:ilvl w:val="0"/>
          <w:numId w:val="4"/>
        </w:numPr>
      </w:pPr>
      <w:r>
        <w:t>Langue française, nombre limité de pages A4 (Cf §2), format PDF ;</w:t>
      </w:r>
    </w:p>
    <w:p w14:paraId="40163CE9" w14:textId="77777777" w:rsidR="00CD4EF2" w:rsidRDefault="00454E80">
      <w:pPr>
        <w:numPr>
          <w:ilvl w:val="0"/>
          <w:numId w:val="4"/>
        </w:numPr>
      </w:pPr>
      <w:r>
        <w:t>Pas de numérotation, ni d'en-tête, marges de 32,5 mm (haut/bas) et 27 mm (gauche/droite) ;</w:t>
      </w:r>
    </w:p>
    <w:p w14:paraId="302B91E9" w14:textId="77777777" w:rsidR="00CD4EF2" w:rsidRDefault="00454E80">
      <w:pPr>
        <w:numPr>
          <w:ilvl w:val="0"/>
          <w:numId w:val="4"/>
        </w:numPr>
      </w:pPr>
      <w:r>
        <w:t xml:space="preserve">Police </w:t>
      </w:r>
      <w:r>
        <w:rPr>
          <w:i/>
          <w:iCs/>
        </w:rPr>
        <w:t>Times</w:t>
      </w:r>
      <w:r>
        <w:t xml:space="preserve"> ou </w:t>
      </w:r>
      <w:r>
        <w:rPr>
          <w:i/>
          <w:iCs/>
        </w:rPr>
        <w:t xml:space="preserve">Times New Roman </w:t>
      </w:r>
      <w:r>
        <w:t>de taille 11 pt pour le corps du texte (style Normal) ;</w:t>
      </w:r>
    </w:p>
    <w:p w14:paraId="12895444" w14:textId="77777777" w:rsidR="00CD4EF2" w:rsidRDefault="00454E80">
      <w:pPr>
        <w:numPr>
          <w:ilvl w:val="0"/>
          <w:numId w:val="4"/>
        </w:numPr>
      </w:pPr>
      <w:r>
        <w:t>Suivre les automatismes de modèle (pour Word et LibreOffice) ou de classe (pour LaTeX)</w:t>
      </w:r>
    </w:p>
    <w:p w14:paraId="39726628" w14:textId="77777777" w:rsidR="00CD4EF2" w:rsidRDefault="00CD4EF2">
      <w:pPr>
        <w:ind w:firstLine="0"/>
      </w:pPr>
    </w:p>
    <w:p w14:paraId="74C5E1DF" w14:textId="77777777" w:rsidR="00CD4EF2" w:rsidRDefault="00454E80">
      <w:pPr>
        <w:ind w:firstLine="0"/>
        <w:jc w:val="center"/>
        <w:rPr>
          <w:b/>
          <w:u w:val="single"/>
        </w:rPr>
      </w:pPr>
      <w:r>
        <w:rPr>
          <w:b/>
          <w:u w:val="single"/>
        </w:rPr>
        <w:t>N’oubliez pas, le fichier doit être soumis au format pdf exclusivement !</w:t>
      </w:r>
    </w:p>
    <w:p w14:paraId="667723F1" w14:textId="77777777" w:rsidR="00CD4EF2" w:rsidRDefault="00CD4EF2">
      <w:pPr>
        <w:ind w:firstLine="0"/>
        <w:jc w:val="center"/>
        <w:rPr>
          <w:b/>
        </w:rPr>
      </w:pPr>
    </w:p>
    <w:p w14:paraId="03AABF2E" w14:textId="77777777" w:rsidR="00CD4EF2" w:rsidRDefault="00454E80">
      <w:pPr>
        <w:ind w:firstLine="0"/>
        <w:jc w:val="center"/>
        <w:rPr>
          <w:b/>
        </w:rPr>
      </w:pPr>
      <w:r>
        <w:rPr>
          <w:b/>
        </w:rPr>
        <w:t>Vérifiez que tous les caractères spéciaux, e.g., les équations,</w:t>
      </w:r>
    </w:p>
    <w:p w14:paraId="4874E708" w14:textId="77777777" w:rsidR="00CD4EF2" w:rsidRDefault="00454E80">
      <w:pPr>
        <w:ind w:firstLine="0"/>
        <w:jc w:val="center"/>
        <w:rPr>
          <w:b/>
        </w:rPr>
      </w:pPr>
      <w:r>
        <w:rPr>
          <w:b/>
        </w:rPr>
        <w:t>sont bien convertis lors de la génération du fichier pdf.</w:t>
      </w:r>
    </w:p>
    <w:p w14:paraId="47CFF4E6" w14:textId="77777777" w:rsidR="00CD4EF2" w:rsidRDefault="00454E80">
      <w:pPr>
        <w:pStyle w:val="Titre0"/>
      </w:pPr>
      <w:r>
        <w:t>Références</w:t>
      </w:r>
    </w:p>
    <w:sectPr w:rsidR="00CD4EF2">
      <w:endnotePr>
        <w:numFmt w:val="decimal"/>
      </w:endnotePr>
      <w:pgSz w:w="11906" w:h="16838"/>
      <w:pgMar w:top="1843" w:right="1531" w:bottom="1843"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42F5" w14:textId="77777777" w:rsidR="00032FC4" w:rsidRDefault="00032FC4">
      <w:r>
        <w:separator/>
      </w:r>
    </w:p>
  </w:endnote>
  <w:endnote w:type="continuationSeparator" w:id="0">
    <w:p w14:paraId="1A195514" w14:textId="77777777" w:rsidR="00032FC4" w:rsidRDefault="00032FC4">
      <w:r>
        <w:continuationSeparator/>
      </w:r>
    </w:p>
  </w:endnote>
  <w:endnote w:id="1">
    <w:p w14:paraId="4E5EA7B2" w14:textId="77777777" w:rsidR="00CD4EF2" w:rsidRDefault="00454E80">
      <w:pPr>
        <w:pStyle w:val="Endnote"/>
      </w:pPr>
      <w:r>
        <w:rPr>
          <w:rStyle w:val="Appeldenotedefin"/>
        </w:rPr>
        <w:endnoteRef/>
      </w:r>
      <w:r>
        <w:t xml:space="preserve"> </w:t>
      </w:r>
      <w:hyperlink r:id="rId1" w:history="1">
        <w:r>
          <w:rPr>
            <w:rStyle w:val="Lienhypertexte"/>
          </w:rPr>
          <w:t>https://www.sfoptique.org/pages/congres-optique/optique-nice-2022/</w:t>
        </w:r>
      </w:hyperlink>
    </w:p>
  </w:endnote>
  <w:endnote w:id="2">
    <w:p w14:paraId="20544463" w14:textId="77777777" w:rsidR="00CD4EF2" w:rsidRDefault="00454E80">
      <w:pPr>
        <w:pStyle w:val="Endnote"/>
      </w:pPr>
      <w:r>
        <w:rPr>
          <w:rStyle w:val="Appeldenotedefin"/>
        </w:rPr>
        <w:endnoteRef/>
      </w:r>
      <w:r>
        <w:t>P. Kaiser, E. A. J. Marcatili, and S. E. Miller, “A New Optical Fiber,” Bell. Syst. Tech. J., vol. 52, pp. 265–269, 1973.</w:t>
      </w:r>
    </w:p>
  </w:endnote>
  <w:endnote w:id="3">
    <w:p w14:paraId="5BD052F2" w14:textId="77777777" w:rsidR="00CD4EF2" w:rsidRDefault="00454E80">
      <w:pPr>
        <w:pStyle w:val="Endnote"/>
      </w:pPr>
      <w:r>
        <w:rPr>
          <w:rStyle w:val="Appeldenotedefin"/>
        </w:rPr>
        <w:endnoteRef/>
      </w:r>
      <w:r>
        <w:t xml:space="preserve"> </w:t>
      </w:r>
      <w:hyperlink r:id="rId2" w:history="1">
        <w:r>
          <w:t>http://word.mvps.org/</w:t>
        </w:r>
      </w:hyperlink>
    </w:p>
  </w:endnote>
  <w:endnote w:id="4">
    <w:p w14:paraId="620AE49B" w14:textId="77777777" w:rsidR="00CD4EF2" w:rsidRDefault="00454E80">
      <w:pPr>
        <w:pStyle w:val="Endnote"/>
      </w:pPr>
      <w:r>
        <w:rPr>
          <w:rStyle w:val="Appeldenotedefin"/>
        </w:rPr>
        <w:endnoteRef/>
      </w:r>
      <w:r>
        <w:t>Michel Goosens, Frank Mittelbach, Alexander Samarin. The LaTeX companion. Addison-Wesley, 1994.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Liberation Serif">
    <w:altName w:val="Times New Roman"/>
    <w:charset w:val="00"/>
    <w:family w:val="roman"/>
    <w:pitch w:val="variable"/>
  </w:font>
  <w:font w:name="Source Han Sans CN Regular">
    <w:charset w:val="00"/>
    <w:family w:val="auto"/>
    <w:pitch w:val="variable"/>
  </w:font>
  <w:font w:name="Lohit Devanagari">
    <w:altName w:val="Calibri"/>
    <w:charset w:val="00"/>
    <w:family w:val="auto"/>
    <w:pitch w:val="variable"/>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serif">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E0A8" w14:textId="77777777" w:rsidR="00032FC4" w:rsidRDefault="00032FC4">
      <w:r>
        <w:rPr>
          <w:color w:val="000000"/>
        </w:rPr>
        <w:separator/>
      </w:r>
    </w:p>
  </w:footnote>
  <w:footnote w:type="continuationSeparator" w:id="0">
    <w:p w14:paraId="08635832" w14:textId="77777777" w:rsidR="00032FC4" w:rsidRDefault="0003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90D55"/>
    <w:multiLevelType w:val="multilevel"/>
    <w:tmpl w:val="3FCA9858"/>
    <w:styleLink w:val="Numbering1"/>
    <w:lvl w:ilvl="0">
      <w:start w:val="1"/>
      <w:numFmt w:val="decimal"/>
      <w:pStyle w:val="Titre1"/>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 w15:restartNumberingAfterBreak="0">
    <w:nsid w:val="7A974D80"/>
    <w:multiLevelType w:val="multilevel"/>
    <w:tmpl w:val="F3B070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7FF94204"/>
    <w:multiLevelType w:val="multilevel"/>
    <w:tmpl w:val="A74CA220"/>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F2"/>
    <w:rsid w:val="00032FC4"/>
    <w:rsid w:val="001229C7"/>
    <w:rsid w:val="003F658F"/>
    <w:rsid w:val="00454E80"/>
    <w:rsid w:val="004D7006"/>
    <w:rsid w:val="008421BF"/>
    <w:rsid w:val="00CD4EF2"/>
    <w:rsid w:val="00D341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00E0"/>
  <w15:docId w15:val="{A6F3F4C0-75B3-44F3-B982-694E1055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ans CN Regular" w:hAnsi="Liberation Serif" w:cs="Lohit Devanagar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ind w:firstLine="567"/>
    </w:pPr>
  </w:style>
  <w:style w:type="paragraph" w:styleId="Titre10">
    <w:name w:val="heading 1"/>
    <w:basedOn w:val="Heading"/>
    <w:next w:val="Textbody"/>
    <w:uiPriority w:val="9"/>
    <w:qFormat/>
    <w:pPr>
      <w:spacing w:before="240" w:after="120"/>
      <w:outlineLvl w:val="0"/>
    </w:pPr>
  </w:style>
  <w:style w:type="paragraph" w:styleId="Titre2">
    <w:name w:val="heading 2"/>
    <w:basedOn w:val="Heading"/>
    <w:next w:val="Textbody"/>
    <w:uiPriority w:val="9"/>
    <w:semiHidden/>
    <w:unhideWhenUsed/>
    <w:qFormat/>
    <w:pPr>
      <w:spacing w:before="200" w:after="120"/>
      <w:outlineLvl w:val="1"/>
    </w:pPr>
  </w:style>
  <w:style w:type="paragraph" w:styleId="Titre3">
    <w:name w:val="heading 3"/>
    <w:basedOn w:val="Heading"/>
    <w:next w:val="Textbody"/>
    <w:uiPriority w:val="9"/>
    <w:semiHidden/>
    <w:unhideWhenUsed/>
    <w:qFormat/>
    <w:pPr>
      <w:spacing w:before="140" w:after="120"/>
      <w:outlineLvl w:val="2"/>
    </w:pPr>
  </w:style>
  <w:style w:type="paragraph" w:styleId="Titre4">
    <w:name w:val="heading 4"/>
    <w:basedOn w:val="Heading"/>
    <w:next w:val="Textbody"/>
    <w:uiPriority w:val="9"/>
    <w:semiHidden/>
    <w:unhideWhenUsed/>
    <w:qFormat/>
    <w:pPr>
      <w:spacing w:before="120" w:after="120"/>
      <w:outlineLvl w:val="3"/>
    </w:pPr>
    <w:rPr>
      <w:i/>
      <w:iCs/>
    </w:rPr>
  </w:style>
  <w:style w:type="paragraph" w:styleId="Titre5">
    <w:name w:val="heading 5"/>
    <w:basedOn w:val="Heading"/>
    <w:next w:val="Textbody"/>
    <w:uiPriority w:val="9"/>
    <w:semiHidden/>
    <w:unhideWhenUsed/>
    <w:qFormat/>
    <w:pPr>
      <w:spacing w:before="120" w:after="60"/>
      <w:outlineLvl w:val="4"/>
    </w:pPr>
  </w:style>
  <w:style w:type="paragraph" w:styleId="Titre6">
    <w:name w:val="heading 6"/>
    <w:basedOn w:val="Heading"/>
    <w:next w:val="Textbody"/>
    <w:uiPriority w:val="9"/>
    <w:semiHidden/>
    <w:unhideWhenUsed/>
    <w:qFormat/>
    <w:pPr>
      <w:spacing w:before="60" w:after="60"/>
      <w:outlineLvl w:val="5"/>
    </w:pPr>
    <w:rPr>
      <w:i/>
      <w:iCs/>
    </w:rPr>
  </w:style>
  <w:style w:type="paragraph" w:styleId="Titre7">
    <w:name w:val="heading 7"/>
    <w:basedOn w:val="Heading"/>
    <w:next w:val="Textbody"/>
    <w:pPr>
      <w:spacing w:before="6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after="380"/>
      <w:jc w:val="center"/>
    </w:pPr>
    <w:rPr>
      <w:rFonts w:ascii="Times" w:hAnsi="Times"/>
      <w:b/>
      <w:bC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rPr>
      <w:sz w:val="56"/>
      <w:szCs w:val="56"/>
    </w:rPr>
  </w:style>
  <w:style w:type="paragraph" w:styleId="Sous-titre">
    <w:name w:val="Subtitle"/>
    <w:basedOn w:val="Heading"/>
    <w:next w:val="Textbody"/>
    <w:uiPriority w:val="11"/>
    <w:qFormat/>
    <w:pPr>
      <w:spacing w:before="60" w:after="120"/>
    </w:pPr>
    <w:rPr>
      <w:sz w:val="36"/>
      <w:szCs w:val="36"/>
    </w:rPr>
  </w:style>
  <w:style w:type="paragraph" w:customStyle="1" w:styleId="Auteur">
    <w:name w:val="Auteur"/>
    <w:basedOn w:val="Textbody"/>
    <w:pPr>
      <w:jc w:val="center"/>
    </w:pPr>
    <w:rPr>
      <w:rFonts w:ascii="Times" w:eastAsia="Times" w:hAnsi="Times" w:cs="Times"/>
      <w:b/>
      <w:sz w:val="22"/>
    </w:rPr>
  </w:style>
  <w:style w:type="paragraph" w:customStyle="1" w:styleId="Institution">
    <w:name w:val="Institution"/>
    <w:basedOn w:val="Textbody"/>
    <w:pPr>
      <w:spacing w:after="0"/>
      <w:jc w:val="center"/>
    </w:pPr>
    <w:rPr>
      <w:i/>
      <w:sz w:val="22"/>
    </w:rPr>
  </w:style>
  <w:style w:type="paragraph" w:customStyle="1" w:styleId="Courriel">
    <w:name w:val="Courriel"/>
    <w:basedOn w:val="Institution"/>
    <w:pPr>
      <w:spacing w:before="119" w:after="119"/>
    </w:pPr>
    <w:rPr>
      <w:sz w:val="21"/>
    </w:rPr>
  </w:style>
  <w:style w:type="paragraph" w:customStyle="1" w:styleId="Titre0">
    <w:name w:val="Titre0"/>
    <w:basedOn w:val="Institution"/>
    <w:pPr>
      <w:spacing w:before="119" w:after="119"/>
      <w:ind w:firstLine="567"/>
    </w:pPr>
    <w:rPr>
      <w:b/>
      <w:i w:val="0"/>
      <w:smallCaps/>
      <w:sz w:val="21"/>
    </w:rPr>
  </w:style>
  <w:style w:type="paragraph" w:customStyle="1" w:styleId="Rsum">
    <w:name w:val="Résumé"/>
    <w:basedOn w:val="Heading"/>
    <w:pPr>
      <w:spacing w:after="0"/>
      <w:ind w:left="567" w:right="567"/>
      <w:jc w:val="both"/>
    </w:pPr>
    <w:rPr>
      <w:b w:val="0"/>
      <w:sz w:val="22"/>
    </w:rPr>
  </w:style>
  <w:style w:type="paragraph" w:customStyle="1" w:styleId="Mots-clefs">
    <w:name w:val="Mots-clefs"/>
    <w:basedOn w:val="Rsum"/>
    <w:pPr>
      <w:spacing w:before="119"/>
    </w:pPr>
    <w:rPr>
      <w:i/>
    </w:rPr>
  </w:style>
  <w:style w:type="paragraph" w:customStyle="1" w:styleId="Titre1">
    <w:name w:val="Titre1"/>
    <w:basedOn w:val="Titre0"/>
    <w:pPr>
      <w:numPr>
        <w:numId w:val="1"/>
      </w:numPr>
    </w:pPr>
  </w:style>
  <w:style w:type="paragraph" w:customStyle="1" w:styleId="Endnote">
    <w:name w:val="Endnote"/>
    <w:basedOn w:val="Standard"/>
    <w:pPr>
      <w:suppressLineNumbers/>
      <w:ind w:left="339" w:hanging="339"/>
    </w:pPr>
    <w:rPr>
      <w:rFonts w:ascii="Times" w:eastAsia="Times" w:hAnsi="Times" w:cs="Times"/>
      <w:sz w:val="20"/>
      <w:szCs w:val="20"/>
    </w:rPr>
  </w:style>
  <w:style w:type="paragraph" w:customStyle="1" w:styleId="Footnote">
    <w:name w:val="Footnote"/>
    <w:basedOn w:val="Standard"/>
    <w:pPr>
      <w:suppressLineNumbers/>
      <w:ind w:left="339" w:hanging="339"/>
    </w:pPr>
    <w:rPr>
      <w:sz w:val="20"/>
      <w:szCs w:val="20"/>
    </w:rPr>
  </w:style>
  <w:style w:type="paragraph" w:customStyle="1" w:styleId="Figure">
    <w:name w:val="Figure"/>
    <w:basedOn w:val="Lgende"/>
    <w:rPr>
      <w:rFonts w:ascii="Times" w:eastAsia="Times" w:hAnsi="Times" w:cs="Times"/>
      <w:sz w:val="20"/>
    </w:rPr>
  </w:style>
  <w:style w:type="paragraph" w:customStyle="1" w:styleId="TableContents">
    <w:name w:val="Table Contents"/>
    <w:basedOn w:val="Standard"/>
    <w:pPr>
      <w:suppressLineNumbers/>
    </w:pPr>
  </w:style>
  <w:style w:type="paragraph" w:customStyle="1" w:styleId="Lgendes">
    <w:name w:val="Légendes"/>
    <w:basedOn w:val="Figure"/>
    <w:pPr>
      <w:tabs>
        <w:tab w:val="left" w:pos="3964"/>
        <w:tab w:val="left" w:pos="3975"/>
        <w:tab w:val="left" w:pos="7232"/>
      </w:tabs>
      <w:jc w:val="center"/>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Endnoteanchor">
    <w:name w:val="Endnote anchor"/>
    <w:rPr>
      <w:position w:val="0"/>
      <w:sz w:val="21"/>
      <w:vertAlign w:val="baseline"/>
    </w:rPr>
  </w:style>
  <w:style w:type="character" w:customStyle="1" w:styleId="EndnoteSymbol">
    <w:name w:val="Endnote Symbol"/>
    <w:rPr>
      <w:sz w:val="21"/>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VisitedInternetLink">
    <w:name w:val="Visited Internet Link"/>
    <w:rPr>
      <w:color w:val="800000"/>
      <w:u w:val="single"/>
    </w:rPr>
  </w:style>
  <w:style w:type="character" w:styleId="Appeldenotedefin">
    <w:name w:val="endnote reference"/>
    <w:basedOn w:val="Policepardfaut"/>
    <w:rPr>
      <w:position w:val="0"/>
      <w:vertAlign w:val="superscript"/>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numbering" w:customStyle="1" w:styleId="Numbering1">
    <w:name w:val="Numbering 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esse@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ord.mvps.org/" TargetMode="External"/><Relationship Id="rId1" Type="http://schemas.openxmlformats.org/officeDocument/2006/relationships/hyperlink" Target="https://www.sfoptique.org/pages/congres-optique/optique-nice-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ence.haddouche\Desktop\2022_01_03%20Doc%20en%20cours\2022_OPTIQUE%20Nice\Contribution%20-%20mod&#232;les\Default.o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Default.ott</Template>
  <TotalTime>13</TotalTime>
  <Pages>4</Pages>
  <Words>1122</Words>
  <Characters>6177</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Haddouche Florence</dc:creator>
  <cp:lastModifiedBy>florence haddouche</cp:lastModifiedBy>
  <cp:revision>4</cp:revision>
  <dcterms:created xsi:type="dcterms:W3CDTF">2022-01-25T14:39:00Z</dcterms:created>
  <dcterms:modified xsi:type="dcterms:W3CDTF">2022-03-14T13:18:00Z</dcterms:modified>
</cp:coreProperties>
</file>